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C9E" w:rsidRDefault="00951FFA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align>top</wp:align>
            </wp:positionV>
            <wp:extent cx="6067425" cy="3698875"/>
            <wp:effectExtent l="1905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3179" t="32578" r="16574" b="4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69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  <w:r w:rsidR="007B5E5F">
        <w:rPr>
          <w:noProof/>
          <w:lang w:eastAsia="en-GB"/>
        </w:rPr>
        <w:drawing>
          <wp:inline distT="0" distB="0" distL="0" distR="0">
            <wp:extent cx="6167438" cy="2933700"/>
            <wp:effectExtent l="19050" t="0" r="4762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2103" t="35411" r="16408" b="147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7438" cy="293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5E5F" w:rsidRDefault="007B5E5F">
      <w:r>
        <w:rPr>
          <w:noProof/>
          <w:lang w:eastAsia="en-GB"/>
        </w:rPr>
        <w:drawing>
          <wp:inline distT="0" distB="0" distL="0" distR="0">
            <wp:extent cx="5553075" cy="3398603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1937" t="32295" r="17239" b="42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33986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2D18" w:rsidRDefault="001A2D18"/>
    <w:p w:rsidR="001A2D18" w:rsidRDefault="001A2D18"/>
    <w:p w:rsidR="001A2D18" w:rsidRDefault="001A2D18">
      <w:r w:rsidRPr="001A2D18">
        <w:drawing>
          <wp:inline distT="0" distB="0" distL="0" distR="0">
            <wp:extent cx="5731510" cy="3837540"/>
            <wp:effectExtent l="0" t="0" r="0" b="0"/>
            <wp:docPr id="2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239000" cy="4846638"/>
                      <a:chOff x="457200" y="1676400"/>
                      <a:chExt cx="7239000" cy="4846638"/>
                    </a:xfrm>
                  </a:grpSpPr>
                  <a:sp>
                    <a:nvSpPr>
                      <a:cNvPr id="13315" name="Rectangle 3"/>
                      <a:cNvSpPr>
                        <a:spLocks noGrp="1" noChangeArrowheads="1"/>
                      </a:cNvSpPr>
                    </a:nvSpPr>
                    <a:spPr bwMode="auto">
                      <a:xfrm>
                        <a:off x="457200" y="1676400"/>
                        <a:ext cx="7239000" cy="4846638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a:spPr>
                    <a:txSp>
                      <a:txBody>
                        <a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a:bodyPr>
                        <a:lstStyle>
                          <a:lvl1pPr marL="273050" indent="-273050" algn="l" rtl="0" eaLnBrk="0" fontAlgn="base" hangingPunct="0">
                            <a:spcBef>
                              <a:spcPts val="600"/>
                            </a:spcBef>
                            <a:spcAft>
                              <a:spcPct val="0"/>
                            </a:spcAft>
                            <a:buClr>
                              <a:schemeClr val="tx2"/>
                            </a:buClr>
                            <a:buSzPct val="73000"/>
                            <a:buFont typeface="Wingdings 2" pitchFamily="18" charset="2"/>
                            <a:buChar char=""/>
                            <a:defRPr sz="26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520700" indent="-228600" algn="l" rtl="0" eaLnBrk="0" fontAlgn="base" hangingPunct="0">
                            <a:spcBef>
                              <a:spcPts val="500"/>
                            </a:spcBef>
                            <a:spcAft>
                              <a:spcPct val="0"/>
                            </a:spcAft>
                            <a:buClr>
                              <a:srgbClr val="F9B639"/>
                            </a:buClr>
                            <a:buSzPct val="80000"/>
                            <a:buFont typeface="Wingdings 2" pitchFamily="18" charset="2"/>
                            <a:buChar char=""/>
                            <a:defRPr sz="2300" kern="1200">
                              <a:solidFill>
                                <a:srgbClr val="6C6C6C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758825" indent="-228600" algn="l" rtl="0" eaLnBrk="0" fontAlgn="base" hangingPunct="0">
                            <a:spcBef>
                              <a:spcPts val="400"/>
                            </a:spcBef>
                            <a:spcAft>
                              <a:spcPct val="0"/>
                            </a:spcAft>
                            <a:buClr>
                              <a:srgbClr val="F9B639"/>
                            </a:buClr>
                            <a:buSzPct val="60000"/>
                            <a:buFont typeface="Wingdings" pitchFamily="2" charset="2"/>
                            <a:buChar char=""/>
                            <a:defRPr sz="20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004888" indent="-228600" algn="l" rtl="0" eaLnBrk="0" fontAlgn="base" hangingPunct="0">
                            <a:spcBef>
                              <a:spcPct val="20000"/>
                            </a:spcBef>
                            <a:spcAft>
                              <a:spcPct val="0"/>
                            </a:spcAft>
                            <a:buClr>
                              <a:srgbClr val="F9B639"/>
                            </a:buClr>
                            <a:buSzPct val="80000"/>
                            <a:buFont typeface="Wingdings 2" pitchFamily="18" charset="2"/>
                            <a:buChar char=""/>
                            <a:defRPr sz="2000" kern="1200">
                              <a:solidFill>
                                <a:srgbClr val="6C6C6C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279525" indent="-228600" algn="l" rtl="0" eaLnBrk="0" fontAlgn="base" hangingPunct="0">
                            <a:spcBef>
                              <a:spcPts val="400"/>
                            </a:spcBef>
                            <a:spcAft>
                              <a:spcPct val="0"/>
                            </a:spcAft>
                            <a:buClr>
                              <a:srgbClr val="F9B639"/>
                            </a:buClr>
                            <a:buSzPct val="70000"/>
                            <a:buFont typeface="Wingdings" pitchFamily="2" charset="2"/>
                            <a:buChar char=""/>
                            <a:defRPr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1472184" indent="-182880" algn="l" rtl="0" eaLnBrk="1" latinLnBrk="0" hangingPunct="1">
                            <a:spcBef>
                              <a:spcPts val="400"/>
                            </a:spcBef>
                            <a:buClr>
                              <a:schemeClr val="accent4"/>
                            </a:buClr>
                            <a:buSzPct val="80000"/>
                            <a:buFont typeface="Wingdings 2"/>
                            <a:buChar char=""/>
                            <a:defRPr kumimoji="0" sz="1800" kern="1200">
                              <a:solidFill>
                                <a:schemeClr val="tx1">
                                  <a:tint val="8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1673352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4"/>
                            </a:buClr>
                            <a:buSzPct val="80000"/>
                            <a:buFont typeface="Wingdings 2"/>
                            <a:buChar char=""/>
                            <a:defRPr kumimoji="0" sz="16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1847088" indent="-182880" algn="l" rtl="0" eaLnBrk="1" latinLnBrk="0" hangingPunct="1">
                            <a:spcBef>
                              <a:spcPts val="300"/>
                            </a:spcBef>
                            <a:buClr>
                              <a:schemeClr val="accent4"/>
                            </a:buClr>
                            <a:buSzPct val="100000"/>
                            <a:buChar char="•"/>
                            <a:defRPr kumimoji="0" sz="1600" kern="1200" baseline="0">
                              <a:solidFill>
                                <a:schemeClr val="tx1">
                                  <a:tint val="85000"/>
                                </a:schemeClr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2057400" indent="-182880" algn="l" rtl="0" eaLnBrk="1" latinLnBrk="0" hangingPunct="1">
                            <a:spcBef>
                              <a:spcPct val="20000"/>
                            </a:spcBef>
                            <a:buClr>
                              <a:schemeClr val="accent4"/>
                            </a:buClr>
                            <a:buSzPct val="100000"/>
                            <a:buFont typeface="Wingdings"/>
                            <a:buChar char="§"/>
                            <a:defRPr kumimoji="0" sz="1400" kern="1200" baseline="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  <a:extLst/>
                        </a:lstStyle>
                        <a:p>
                          <a:pPr eaLnBrk="1" hangingPunct="1">
                            <a:buFontTx/>
                            <a:buNone/>
                          </a:pPr>
                          <a:r>
                            <a:rPr lang="en-GB" smtClean="0"/>
                            <a:t>Give a real-life example of compliance </a:t>
                          </a:r>
                        </a:p>
                        <a:p>
                          <a:pPr eaLnBrk="1" hangingPunct="1">
                            <a:buFontTx/>
                            <a:buNone/>
                          </a:pPr>
                          <a:r>
                            <a:rPr lang="en-GB" i="1" smtClean="0"/>
                            <a:t>(2 marks)</a:t>
                          </a:r>
                          <a:endParaRPr lang="en-GB" b="1" smtClean="0"/>
                        </a:p>
                        <a:p>
                          <a:pPr eaLnBrk="1" hangingPunct="1">
                            <a:buFontTx/>
                            <a:buNone/>
                          </a:pPr>
                          <a:r>
                            <a:rPr lang="en-GB" smtClean="0"/>
                            <a:t>Give a real-life example of internalisation </a:t>
                          </a:r>
                        </a:p>
                        <a:p>
                          <a:pPr eaLnBrk="1" hangingPunct="1">
                            <a:buFontTx/>
                            <a:buNone/>
                          </a:pPr>
                          <a:r>
                            <a:rPr lang="en-GB" i="1" smtClean="0"/>
                            <a:t>(2 marks</a:t>
                          </a:r>
                          <a:r>
                            <a:rPr lang="en-GB" smtClean="0"/>
                            <a:t>)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1A2D18" w:rsidSect="00195C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51FFA"/>
    <w:rsid w:val="00195C9E"/>
    <w:rsid w:val="001A2D18"/>
    <w:rsid w:val="007B5E5F"/>
    <w:rsid w:val="00951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C9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1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fhs9162</dc:creator>
  <cp:keywords/>
  <dc:description/>
  <cp:lastModifiedBy>fhs9162</cp:lastModifiedBy>
  <cp:revision>5</cp:revision>
  <dcterms:created xsi:type="dcterms:W3CDTF">2012-05-02T10:18:00Z</dcterms:created>
  <dcterms:modified xsi:type="dcterms:W3CDTF">2012-05-02T10:31:00Z</dcterms:modified>
</cp:coreProperties>
</file>